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F97316"/>
          <w:sz w:val="44"/>
        </w:rPr>
        <w:t>TORQMAX</w:t>
        <w:br/>
        <w:t>AGENT PARTNERSHIP AGREEMENT</w:t>
      </w:r>
    </w:p>
    <w:p>
      <w:pPr>
        <w:jc w:val="center"/>
      </w:pPr>
      <w:r>
        <w:rPr>
          <w:b/>
          <w:color w:val="1E293B"/>
          <w:sz w:val="28"/>
        </w:rPr>
        <w:t>代理合作合同</w:t>
      </w:r>
    </w:p>
    <w:p>
      <w:pPr>
        <w:jc w:val="center"/>
      </w:pPr>
      <w:r>
        <w:rPr>
          <w:color w:val="666666"/>
          <w:sz w:val="18"/>
        </w:rPr>
        <w:t>Daqiang Machinery Trading Co., Ltd. (TorqMax Export Brand)</w:t>
        <w:br/>
        <w:t>Shenzhen, Guangdong, China · info@inqulm.com · WhatsApp +86 177 5875 6157</w:t>
      </w:r>
    </w:p>
    <w:p/>
    <w:p>
      <w:pPr>
        <w:spacing w:after="120" w:line="300" w:lineRule="auto"/>
      </w:pPr>
      <w:r>
        <w:rPr>
          <w:b w:val="0"/>
          <w:i w:val="0"/>
          <w:sz w:val="21"/>
        </w:rPr>
        <w:t>This Agreement is made and entered into on the ________ day of __________, 20____ (the "Effective Date"), by and between:</w:t>
      </w:r>
    </w:p>
    <w:p>
      <w:pPr>
        <w:spacing w:after="120" w:line="300" w:lineRule="auto"/>
      </w:pPr>
      <w:r>
        <w:rPr>
          <w:b w:val="0"/>
          <w:i w:val="0"/>
          <w:sz w:val="21"/>
        </w:rPr>
        <w:t>1. Daqiang Machinery Trading Co., Ltd., a company duly organized under the laws of the People's Republic of China, with its registered address at ________________________________________ (the "Company"); and</w:t>
      </w:r>
    </w:p>
    <w:p>
      <w:pPr>
        <w:spacing w:after="120" w:line="300" w:lineRule="auto"/>
      </w:pPr>
      <w:r>
        <w:rPr>
          <w:b w:val="0"/>
          <w:i w:val="0"/>
          <w:sz w:val="21"/>
        </w:rPr>
        <w:t>2. ____________________________________________________, a company duly organized under the laws of ______________________, with its registered address at ________________________________________ (the "Agent").</w:t>
      </w:r>
    </w:p>
    <w:p>
      <w:pPr>
        <w:spacing w:after="120" w:line="300" w:lineRule="auto"/>
      </w:pPr>
      <w:r>
        <w:rPr>
          <w:b w:val="0"/>
          <w:i/>
          <w:sz w:val="21"/>
        </w:rPr>
        <w:t>The Company and the Agent are hereinafter referred to individually as a "Party" and collectively as the "Parties."</w:t>
      </w:r>
    </w:p>
    <w:p>
      <w:pPr>
        <w:spacing w:before="200"/>
      </w:pPr>
      <w:r>
        <w:rPr>
          <w:b/>
          <w:sz w:val="22"/>
        </w:rPr>
        <w:t>1. APPOINTMENT AND TERRITORY</w:t>
      </w:r>
    </w:p>
    <w:p>
      <w:pPr>
        <w:spacing w:after="80" w:line="288" w:lineRule="auto"/>
        <w:ind w:left="340"/>
      </w:pPr>
      <w:r>
        <w:rPr>
          <w:sz w:val="20"/>
        </w:rPr>
        <w:t>1.1 The Company hereby appoints the Agent as its non-exclusive / exclusive (delete as agreed) agent for the promotion and sale of TorqMax brand machinery within the territory of ______________________________________ ("Territory").</w:t>
      </w:r>
    </w:p>
    <w:p>
      <w:pPr>
        <w:spacing w:after="80" w:line="288" w:lineRule="auto"/>
        <w:ind w:left="340"/>
      </w:pPr>
      <w:r>
        <w:rPr>
          <w:sz w:val="20"/>
        </w:rPr>
        <w:t>1.2 The Agent accepts the appointment and shall actively promote the Products in the Territory in accordance with this Agreement.</w:t>
      </w:r>
    </w:p>
    <w:p>
      <w:pPr>
        <w:spacing w:after="80" w:line="288" w:lineRule="auto"/>
        <w:ind w:left="340"/>
      </w:pPr>
      <w:r>
        <w:rPr>
          <w:sz w:val="20"/>
        </w:rPr>
        <w:t>1.3 The exclusivity, if granted, covers end-customer sales within the Territory only. Sales to existing Company accounts, government tenders above the agreed threshold, and channel partners pre-existing on the Effective Date remain reserved to the Company and do not accrue commission to the Agent unless otherwise agreed in writing.</w:t>
      </w:r>
    </w:p>
    <w:p>
      <w:pPr>
        <w:spacing w:before="200"/>
      </w:pPr>
      <w:r>
        <w:rPr>
          <w:b/>
          <w:sz w:val="22"/>
        </w:rPr>
        <w:t>2. PRODUCT RANGE</w:t>
      </w:r>
    </w:p>
    <w:p>
      <w:pPr>
        <w:spacing w:after="80" w:line="288" w:lineRule="auto"/>
        <w:ind w:left="340"/>
      </w:pPr>
      <w:r>
        <w:rPr>
          <w:sz w:val="20"/>
        </w:rPr>
        <w:t>2.1 "Products" means the machinery manufactured and exported by the Company from time to time, including remote-controlled lawn mowers, tracked mini dump trucks, concrete mixers, skid steer loaders, brush cutters and farm transport tricycles, as published in the TorqMax catalog (https://inqulm.com).</w:t>
      </w:r>
    </w:p>
    <w:p>
      <w:pPr>
        <w:spacing w:after="80" w:line="288" w:lineRule="auto"/>
        <w:ind w:left="340"/>
      </w:pPr>
      <w:r>
        <w:rPr>
          <w:sz w:val="20"/>
        </w:rPr>
        <w:t>2.2 The Company may update the product range, pricing and specifications from time to time and shall notify the Agent of material changes.</w:t>
      </w:r>
    </w:p>
    <w:p>
      <w:pPr>
        <w:spacing w:before="200"/>
      </w:pPr>
      <w:r>
        <w:rPr>
          <w:b/>
          <w:sz w:val="22"/>
        </w:rPr>
        <w:t>3. AGENT'S OBLIGATIONS</w:t>
      </w:r>
    </w:p>
    <w:p>
      <w:pPr>
        <w:spacing w:after="80" w:line="288" w:lineRule="auto"/>
        <w:ind w:left="340"/>
      </w:pPr>
      <w:r>
        <w:rPr>
          <w:sz w:val="20"/>
        </w:rPr>
        <w:t>3.1 The Agent shall use commercially reasonable efforts to promote the sale of the Products in the Territory, including local sales, demonstrations, customer relationships and after-sales presence.</w:t>
      </w:r>
    </w:p>
    <w:p>
      <w:pPr>
        <w:spacing w:after="80" w:line="288" w:lineRule="auto"/>
        <w:ind w:left="340"/>
      </w:pPr>
      <w:r>
        <w:rPr>
          <w:sz w:val="20"/>
        </w:rPr>
        <w:t>3.2 The Agent shall comply with all applicable laws and regulations of the Territory relating to importation, labeling, certification and sale of the Products.</w:t>
      </w:r>
    </w:p>
    <w:p>
      <w:pPr>
        <w:spacing w:after="80" w:line="288" w:lineRule="auto"/>
        <w:ind w:left="340"/>
      </w:pPr>
      <w:r>
        <w:rPr>
          <w:sz w:val="20"/>
        </w:rPr>
        <w:t>3.3 The Agent shall not make any representations or warranties concerning the Products beyond those provided by the Company, and shall not bind the Company to any contract, price or term without the Company's prior written consent.</w:t>
      </w:r>
    </w:p>
    <w:p>
      <w:pPr>
        <w:spacing w:after="80" w:line="288" w:lineRule="auto"/>
        <w:ind w:left="340"/>
      </w:pPr>
      <w:r>
        <w:rPr>
          <w:sz w:val="20"/>
        </w:rPr>
        <w:t>3.4 The Agent shall not resell, distribute or promote competing products of the same category within the Territory without the Company's prior written consent.</w:t>
      </w:r>
    </w:p>
    <w:p>
      <w:pPr>
        <w:spacing w:after="80" w:line="288" w:lineRule="auto"/>
        <w:ind w:left="340"/>
      </w:pPr>
      <w:r>
        <w:rPr>
          <w:sz w:val="20"/>
        </w:rPr>
        <w:t>3.5 The Agent shall submit market feedback, competitor information and sales reports to the Company at least quarterly.</w:t>
      </w:r>
    </w:p>
    <w:p>
      <w:pPr>
        <w:spacing w:before="200"/>
      </w:pPr>
      <w:r>
        <w:rPr>
          <w:b/>
          <w:sz w:val="22"/>
        </w:rPr>
        <w:t>4. COMPANY'S OBLIGATIONS AND SUPPORT</w:t>
      </w:r>
    </w:p>
    <w:p>
      <w:pPr>
        <w:spacing w:after="80" w:line="288" w:lineRule="auto"/>
        <w:ind w:left="340"/>
      </w:pPr>
      <w:r>
        <w:rPr>
          <w:sz w:val="20"/>
        </w:rPr>
        <w:t>4.1 The Company shall supply the Products in accordance with confirmed orders at the then-current factory-direct prices.</w:t>
      </w:r>
    </w:p>
    <w:p>
      <w:pPr>
        <w:spacing w:after="80" w:line="288" w:lineRule="auto"/>
        <w:ind w:left="340"/>
      </w:pPr>
      <w:r>
        <w:rPr>
          <w:sz w:val="20"/>
        </w:rPr>
        <w:t>4.2 The Company shall provide the Agent with marketing collateral, including product catalogs, photos, videos and factory footage.</w:t>
      </w:r>
    </w:p>
    <w:p>
      <w:pPr>
        <w:spacing w:after="80" w:line="288" w:lineRule="auto"/>
        <w:ind w:left="340"/>
      </w:pPr>
      <w:r>
        <w:rPr>
          <w:sz w:val="20"/>
        </w:rPr>
        <w:t>4.3 The Company shall make available product training and technical support for the Agent's staff.</w:t>
      </w:r>
    </w:p>
    <w:p>
      <w:pPr>
        <w:spacing w:after="80" w:line="288" w:lineRule="auto"/>
        <w:ind w:left="340"/>
      </w:pPr>
      <w:r>
        <w:rPr>
          <w:sz w:val="20"/>
        </w:rPr>
        <w:t>4.4 The Company shall handle production, quality control, export packing and shipping documentation for all orders placed through the Agent.</w:t>
      </w:r>
    </w:p>
    <w:p>
      <w:pPr>
        <w:spacing w:after="80" w:line="288" w:lineRule="auto"/>
        <w:ind w:left="340"/>
      </w:pPr>
      <w:r>
        <w:rPr>
          <w:sz w:val="20"/>
        </w:rPr>
        <w:t>4.5 There is no minimum inventory commitment: the Agent is not required to carry stock unless the Parties agree otherwise in writing.</w:t>
      </w:r>
    </w:p>
    <w:p>
      <w:pPr>
        <w:spacing w:before="200"/>
      </w:pPr>
      <w:r>
        <w:rPr>
          <w:b/>
          <w:sz w:val="22"/>
        </w:rPr>
        <w:t>5. ORDERS AND SUPPLY</w:t>
      </w:r>
    </w:p>
    <w:p>
      <w:pPr>
        <w:spacing w:after="80" w:line="288" w:lineRule="auto"/>
        <w:ind w:left="340"/>
      </w:pPr>
      <w:r>
        <w:rPr>
          <w:sz w:val="20"/>
        </w:rPr>
        <w:t>5.1 All orders shall be placed by the Agent on behalf of its customers through the Company's official channels (email: info@inqulm.com or the then-designated account manager) and confirmed in writing by the Company.</w:t>
      </w:r>
    </w:p>
    <w:p>
      <w:pPr>
        <w:spacing w:after="80" w:line="288" w:lineRule="auto"/>
        <w:ind w:left="340"/>
      </w:pPr>
      <w:r>
        <w:rPr>
          <w:sz w:val="20"/>
        </w:rPr>
        <w:t>5.2 Each order confirmation shall specify model, quantity, unit price, incoterm, destination port, packing and lead time.</w:t>
      </w:r>
    </w:p>
    <w:p>
      <w:pPr>
        <w:spacing w:after="80" w:line="288" w:lineRule="auto"/>
        <w:ind w:left="340"/>
      </w:pPr>
      <w:r>
        <w:rPr>
          <w:sz w:val="20"/>
        </w:rPr>
        <w:t>5.3 Standard lead time is 15–30 days after receipt of the advance payment, or as otherwise agreed per order.</w:t>
      </w:r>
    </w:p>
    <w:p>
      <w:pPr>
        <w:spacing w:after="80" w:line="288" w:lineRule="auto"/>
        <w:ind w:left="340"/>
      </w:pPr>
      <w:r>
        <w:rPr>
          <w:sz w:val="20"/>
        </w:rPr>
        <w:t>5.4 The Company reserves the right to refuse any order that it cannot reasonably fulfill.</w:t>
      </w:r>
    </w:p>
    <w:p>
      <w:pPr>
        <w:spacing w:before="200"/>
      </w:pPr>
      <w:r>
        <w:rPr>
          <w:b/>
          <w:sz w:val="22"/>
        </w:rPr>
        <w:t>6. COMMISSION</w:t>
      </w:r>
    </w:p>
    <w:p>
      <w:pPr>
        <w:spacing w:after="80" w:line="288" w:lineRule="auto"/>
        <w:ind w:left="340"/>
      </w:pPr>
      <w:r>
        <w:rPr>
          <w:sz w:val="20"/>
        </w:rPr>
        <w:t>6.1 The Company shall pay the Agent a commission of ______% (to be agreed and inserted) of the net invoice value (FOB or EXW basis, excluding freight, insurance and bank charges) for each confirmed order from customers sourced by the Agent within the Territory.</w:t>
      </w:r>
    </w:p>
    <w:p>
      <w:pPr>
        <w:spacing w:after="80" w:line="288" w:lineRule="auto"/>
        <w:ind w:left="340"/>
      </w:pPr>
      <w:r>
        <w:rPr>
          <w:sz w:val="20"/>
        </w:rPr>
        <w:t>6.2 Commission is payable only after the Company has received full payment from the customer for the respective order. No commission is payable on orders rejected, cancelled or for which payment is not received.</w:t>
      </w:r>
    </w:p>
    <w:p>
      <w:pPr>
        <w:spacing w:after="80" w:line="288" w:lineRule="auto"/>
        <w:ind w:left="340"/>
      </w:pPr>
      <w:r>
        <w:rPr>
          <w:sz w:val="20"/>
        </w:rPr>
        <w:t>6.3 Commission shall be paid within thirty (30) days after full payment is received, by bank transfer to the Agent's designated account, or by alternative method agreed in writing.</w:t>
      </w:r>
    </w:p>
    <w:p>
      <w:pPr>
        <w:spacing w:after="80" w:line="288" w:lineRule="auto"/>
        <w:ind w:left="340"/>
      </w:pPr>
      <w:r>
        <w:rPr>
          <w:sz w:val="20"/>
        </w:rPr>
        <w:t>6.4 The commission structure may be reviewed in writing by the Parties annually.</w:t>
      </w:r>
    </w:p>
    <w:p>
      <w:pPr>
        <w:spacing w:before="200"/>
      </w:pPr>
      <w:r>
        <w:rPr>
          <w:b/>
          <w:sz w:val="22"/>
        </w:rPr>
        <w:t>7. CUSTOMER INQUIRIES AND LEAD PROTECTION</w:t>
      </w:r>
    </w:p>
    <w:p>
      <w:pPr>
        <w:spacing w:after="80" w:line="288" w:lineRule="auto"/>
        <w:ind w:left="340"/>
      </w:pPr>
      <w:r>
        <w:rPr>
          <w:sz w:val="20"/>
        </w:rPr>
        <w:t>7.1 Inquiries received by the Company directly from the Territory shall be referred to the Agent, except as reserved under Clause 1.3.</w:t>
      </w:r>
    </w:p>
    <w:p>
      <w:pPr>
        <w:spacing w:after="80" w:line="288" w:lineRule="auto"/>
        <w:ind w:left="340"/>
      </w:pPr>
      <w:r>
        <w:rPr>
          <w:sz w:val="20"/>
        </w:rPr>
        <w:t>7.2 The Agent shall report all inquiries and customer contacts originating in the Territory to the Company for registration. Registered leads are protected for a period of ____ months for exclusivity purposes.</w:t>
      </w:r>
    </w:p>
    <w:p>
      <w:pPr>
        <w:spacing w:after="80" w:line="288" w:lineRule="auto"/>
        <w:ind w:left="340"/>
      </w:pPr>
      <w:r>
        <w:rPr>
          <w:sz w:val="20"/>
        </w:rPr>
        <w:t>7.3 To avoid double-commission disputes, both Parties shall maintain written records of lead sourcing.</w:t>
      </w:r>
    </w:p>
    <w:p>
      <w:pPr>
        <w:spacing w:before="200"/>
      </w:pPr>
      <w:r>
        <w:rPr>
          <w:b/>
          <w:sz w:val="22"/>
        </w:rPr>
        <w:t>8. WARRANTIES AND AFTER-SALES</w:t>
      </w:r>
    </w:p>
    <w:p>
      <w:pPr>
        <w:spacing w:after="80" w:line="288" w:lineRule="auto"/>
        <w:ind w:left="340"/>
      </w:pPr>
      <w:r>
        <w:rPr>
          <w:sz w:val="20"/>
        </w:rPr>
        <w:t>8.1 Standard product warranty is twelve (12) months from the date of shipment, subject to the warranty terms in the product manual.</w:t>
      </w:r>
    </w:p>
    <w:p>
      <w:pPr>
        <w:spacing w:after="80" w:line="288" w:lineRule="auto"/>
        <w:ind w:left="340"/>
      </w:pPr>
      <w:r>
        <w:rPr>
          <w:sz w:val="20"/>
        </w:rPr>
        <w:t>8.2 The Agent shall assist customers with after-sales issues and coordinate with the Company for spare parts supply. Spare parts are priced factory-direct with export packing.</w:t>
      </w:r>
    </w:p>
    <w:p>
      <w:pPr>
        <w:spacing w:after="80" w:line="288" w:lineRule="auto"/>
        <w:ind w:left="340"/>
      </w:pPr>
      <w:r>
        <w:rPr>
          <w:sz w:val="20"/>
        </w:rPr>
        <w:t>8.3 Products are compliant with CE/EPA/ISO standards as applicable; certificates of conformity (e.g., EPA TCGPS.2241PC-055) are available for inspection where applicable to the products ordered.</w:t>
      </w:r>
    </w:p>
    <w:p>
      <w:pPr>
        <w:spacing w:before="200"/>
      </w:pPr>
      <w:r>
        <w:rPr>
          <w:b/>
          <w:sz w:val="22"/>
        </w:rPr>
        <w:t>9. INTELLECTUAL PROPERTY</w:t>
      </w:r>
    </w:p>
    <w:p>
      <w:pPr>
        <w:spacing w:after="80" w:line="288" w:lineRule="auto"/>
        <w:ind w:left="340"/>
      </w:pPr>
      <w:r>
        <w:rPr>
          <w:sz w:val="20"/>
        </w:rPr>
        <w:t>9.1 All intellectual property rights in the TorqMax brand, trademarks, logos, product designs, manuals and marketing materials remain the sole property of the Company.</w:t>
      </w:r>
    </w:p>
    <w:p>
      <w:pPr>
        <w:spacing w:after="80" w:line="288" w:lineRule="auto"/>
        <w:ind w:left="340"/>
      </w:pPr>
      <w:r>
        <w:rPr>
          <w:sz w:val="20"/>
        </w:rPr>
        <w:t>9.2 The Agent is granted a limited, non-transferable license to use the TorqMax brand and materials solely for the promotion of the Products during the term of this Agreement.</w:t>
      </w:r>
    </w:p>
    <w:p>
      <w:pPr>
        <w:spacing w:after="80" w:line="288" w:lineRule="auto"/>
        <w:ind w:left="340"/>
      </w:pPr>
      <w:r>
        <w:rPr>
          <w:sz w:val="20"/>
        </w:rPr>
        <w:t>9.3 Any OEM/ODM branding arrangements shall be governed by a separate written agreement.</w:t>
      </w:r>
    </w:p>
    <w:p>
      <w:pPr>
        <w:spacing w:before="200"/>
      </w:pPr>
      <w:r>
        <w:rPr>
          <w:b/>
          <w:sz w:val="22"/>
        </w:rPr>
        <w:t>10. CONFIDENTIALITY</w:t>
      </w:r>
    </w:p>
    <w:p>
      <w:pPr>
        <w:spacing w:after="80" w:line="288" w:lineRule="auto"/>
        <w:ind w:left="340"/>
      </w:pPr>
      <w:r>
        <w:rPr>
          <w:sz w:val="20"/>
        </w:rPr>
        <w:t>10.1 Each Party shall keep confidential all non-public information disclosed by the other Party, including pricing, customer lists, technical specifications and business plans.</w:t>
      </w:r>
    </w:p>
    <w:p>
      <w:pPr>
        <w:spacing w:after="80" w:line="288" w:lineRule="auto"/>
        <w:ind w:left="340"/>
      </w:pPr>
      <w:r>
        <w:rPr>
          <w:sz w:val="20"/>
        </w:rPr>
        <w:t>10.2 This obligation survives termination of this Agreement for a period of three (3) years.</w:t>
      </w:r>
    </w:p>
    <w:p>
      <w:pPr>
        <w:spacing w:before="200"/>
      </w:pPr>
      <w:r>
        <w:rPr>
          <w:b/>
          <w:sz w:val="22"/>
        </w:rPr>
        <w:t>11. TERM AND TERMINATION</w:t>
      </w:r>
    </w:p>
    <w:p>
      <w:pPr>
        <w:spacing w:after="80" w:line="288" w:lineRule="auto"/>
        <w:ind w:left="340"/>
      </w:pPr>
      <w:r>
        <w:rPr>
          <w:sz w:val="20"/>
        </w:rPr>
        <w:t>11.1 This Agreement shall be effective from the Effective Date and continue for an initial term of twelve (12) months, renewable automatically for successive one-year periods unless either Party gives ninety (90) days' written notice of non-renewal.</w:t>
      </w:r>
    </w:p>
    <w:p>
      <w:pPr>
        <w:spacing w:after="80" w:line="288" w:lineRule="auto"/>
        <w:ind w:left="340"/>
      </w:pPr>
      <w:r>
        <w:rPr>
          <w:sz w:val="20"/>
        </w:rPr>
        <w:t>11.2 Either Party may terminate this Agreement immediately by written notice if the other Party commits a material breach and fails to remedy it within thirty (30) days of written notice.</w:t>
      </w:r>
    </w:p>
    <w:p>
      <w:pPr>
        <w:spacing w:after="80" w:line="288" w:lineRule="auto"/>
        <w:ind w:left="340"/>
      </w:pPr>
      <w:r>
        <w:rPr>
          <w:sz w:val="20"/>
        </w:rPr>
        <w:t>11.3 Upon termination, the Agent shall cease using the TorqMax brand and materials, and pending commission on orders fully paid before the termination date shall remain payable.</w:t>
      </w:r>
    </w:p>
    <w:p>
      <w:pPr>
        <w:spacing w:before="200"/>
      </w:pPr>
      <w:r>
        <w:rPr>
          <w:b/>
          <w:sz w:val="22"/>
        </w:rPr>
        <w:t>12. LIMITED LIABILITY AND FORCE MAJEURE</w:t>
      </w:r>
    </w:p>
    <w:p>
      <w:pPr>
        <w:spacing w:after="80" w:line="288" w:lineRule="auto"/>
        <w:ind w:left="340"/>
      </w:pPr>
      <w:r>
        <w:rPr>
          <w:sz w:val="20"/>
        </w:rPr>
        <w:t>12.1 Neither Party shall be liable for indirect, incidental or consequential damages arising out of this Agreement.</w:t>
      </w:r>
    </w:p>
    <w:p>
      <w:pPr>
        <w:spacing w:after="80" w:line="288" w:lineRule="auto"/>
        <w:ind w:left="340"/>
      </w:pPr>
      <w:r>
        <w:rPr>
          <w:sz w:val="20"/>
        </w:rPr>
        <w:t>12.2 Neither Party shall be liable for delay or failure caused by force majeure, including war, terrorism, natural disasters, epidemics, government actions, or disruptions to transport or supply.</w:t>
      </w:r>
    </w:p>
    <w:p>
      <w:pPr>
        <w:spacing w:before="200"/>
      </w:pPr>
      <w:r>
        <w:rPr>
          <w:b/>
          <w:sz w:val="22"/>
        </w:rPr>
        <w:t>13. GOVERNING LAW AND DISPUTE RESOLUTION</w:t>
      </w:r>
    </w:p>
    <w:p>
      <w:pPr>
        <w:spacing w:after="80" w:line="288" w:lineRule="auto"/>
        <w:ind w:left="340"/>
      </w:pPr>
      <w:r>
        <w:rPr>
          <w:sz w:val="20"/>
        </w:rPr>
        <w:t>13.1 This Agreement shall be governed by and construed in accordance with the laws of the People's Republic of China.</w:t>
      </w:r>
    </w:p>
    <w:p>
      <w:pPr>
        <w:spacing w:after="80" w:line="288" w:lineRule="auto"/>
        <w:ind w:left="340"/>
      </w:pPr>
      <w:r>
        <w:rPr>
          <w:sz w:val="20"/>
        </w:rPr>
        <w:t>13.2 Any dispute arising out of or in connection with this Agreement shall first be settled through friendly negotiation for sixty (60) days. If unresolved, the dispute shall be submitted to the arbitration of the [Shenzhen Court of International Arbitration / Hong Kong International Arbitration Centre — as agreed], which shall be final and binding on both Parties.</w:t>
      </w:r>
    </w:p>
    <w:p>
      <w:pPr>
        <w:spacing w:before="200"/>
      </w:pPr>
      <w:r>
        <w:rPr>
          <w:b/>
          <w:sz w:val="22"/>
        </w:rPr>
        <w:t>14. GENERAL PROVISIONS</w:t>
      </w:r>
    </w:p>
    <w:p>
      <w:pPr>
        <w:spacing w:after="80" w:line="288" w:lineRule="auto"/>
        <w:ind w:left="340"/>
      </w:pPr>
      <w:r>
        <w:rPr>
          <w:sz w:val="20"/>
        </w:rPr>
        <w:t>14.1 Entire Agreement: This Agreement constitutes the entire understanding between the Parties and supersedes all prior discussions and correspondence.</w:t>
      </w:r>
    </w:p>
    <w:p>
      <w:pPr>
        <w:spacing w:after="80" w:line="288" w:lineRule="auto"/>
        <w:ind w:left="340"/>
      </w:pPr>
      <w:r>
        <w:rPr>
          <w:sz w:val="20"/>
        </w:rPr>
        <w:t>14.2 Amendments: Any amendment shall be valid only if made in writing and signed by both Parties.</w:t>
      </w:r>
    </w:p>
    <w:p>
      <w:pPr>
        <w:spacing w:after="80" w:line="288" w:lineRule="auto"/>
        <w:ind w:left="340"/>
      </w:pPr>
      <w:r>
        <w:rPr>
          <w:sz w:val="20"/>
        </w:rPr>
        <w:t>14.3 Severability: If any provision is held invalid, the remaining provisions shall continue in full force.</w:t>
      </w:r>
    </w:p>
    <w:p>
      <w:pPr>
        <w:spacing w:after="80" w:line="288" w:lineRule="auto"/>
        <w:ind w:left="340"/>
      </w:pPr>
      <w:r>
        <w:rPr>
          <w:sz w:val="20"/>
        </w:rPr>
        <w:t>14.4 Assignment: Neither Party may assign this Agreement without the prior written consent of the other Party.</w:t>
      </w:r>
    </w:p>
    <w:p>
      <w:pPr>
        <w:spacing w:after="80" w:line="288" w:lineRule="auto"/>
        <w:ind w:left="340"/>
      </w:pPr>
      <w:r>
        <w:rPr>
          <w:sz w:val="20"/>
        </w:rPr>
        <w:t>14.5 Notices: All notices shall be in writing and sent to the addresses stated herein or as updated in writing.</w:t>
      </w:r>
    </w:p>
    <w:p>
      <w:pPr>
        <w:spacing w:after="80" w:line="288" w:lineRule="auto"/>
        <w:ind w:left="340"/>
      </w:pPr>
      <w:r>
        <w:rPr>
          <w:sz w:val="20"/>
        </w:rPr>
        <w:t>14.6 Counterparts: This Agreement may be executed in counterparts, each of which shall be deemed an original.</w:t>
      </w:r>
    </w:p>
    <w:p/>
    <w:p>
      <w:pPr>
        <w:spacing w:after="120" w:line="300" w:lineRule="auto"/>
      </w:pPr>
      <w:r>
        <w:rPr>
          <w:b/>
          <w:i w:val="0"/>
          <w:sz w:val="21"/>
        </w:rPr>
        <w:t>IN WITNESS WHEREOF, the Parties have executed this Agreement by their duly authorized representatives:</w:t>
      </w:r>
    </w:p>
    <w:tbl>
      <w:tblPr>
        <w:tblStyle w:val="TableGrid"/>
        <w:tblW w:type="auto" w:w="0"/>
        <w:tblLook w:firstColumn="1" w:firstRow="1" w:lastColumn="0" w:lastRow="0" w:noHBand="0" w:noVBand="1" w:val="04A0"/>
      </w:tblPr>
      <w:tblGrid>
        <w:gridCol w:w="4759"/>
        <w:gridCol w:w="4759"/>
      </w:tblGrid>
      <w:tr>
        <w:tc>
          <w:tcPr>
            <w:tcW w:type="dxa" w:w="4759"/>
          </w:tcPr>
          <w:p>
            <w:r>
              <w:rPr>
                <w:b/>
                <w:sz w:val="20"/>
              </w:rPr>
              <w:t>COMPANY (Daqiang Machinery Trading Co., Ltd.)</w:t>
            </w:r>
          </w:p>
        </w:tc>
        <w:tc>
          <w:tcPr>
            <w:tcW w:type="dxa" w:w="4759"/>
          </w:tcPr>
          <w:p>
            <w:r>
              <w:rPr>
                <w:b/>
                <w:sz w:val="20"/>
              </w:rPr>
              <w:t>AGENT</w:t>
            </w:r>
          </w:p>
        </w:tc>
      </w:tr>
      <w:tr>
        <w:tc>
          <w:tcPr>
            <w:tcW w:type="dxa" w:w="4759"/>
          </w:tcPr>
          <w:p>
            <w:r>
              <w:rPr>
                <w:b w:val="0"/>
                <w:sz w:val="20"/>
              </w:rPr>
              <w:t>Signature: ______________________________</w:t>
            </w:r>
          </w:p>
        </w:tc>
        <w:tc>
          <w:tcPr>
            <w:tcW w:type="dxa" w:w="4759"/>
          </w:tcPr>
          <w:p>
            <w:r>
              <w:rPr>
                <w:b w:val="0"/>
                <w:sz w:val="20"/>
              </w:rPr>
              <w:t>Signature: ______________________________</w:t>
            </w:r>
          </w:p>
        </w:tc>
      </w:tr>
      <w:tr>
        <w:tc>
          <w:tcPr>
            <w:tcW w:type="dxa" w:w="4759"/>
          </w:tcPr>
          <w:p>
            <w:r>
              <w:rPr>
                <w:b w:val="0"/>
                <w:sz w:val="20"/>
              </w:rPr>
              <w:t>Name: __________________________________</w:t>
            </w:r>
          </w:p>
        </w:tc>
        <w:tc>
          <w:tcPr>
            <w:tcW w:type="dxa" w:w="4759"/>
          </w:tcPr>
          <w:p>
            <w:r>
              <w:rPr>
                <w:b w:val="0"/>
                <w:sz w:val="20"/>
              </w:rPr>
              <w:t>Name: __________________________________</w:t>
            </w:r>
          </w:p>
        </w:tc>
      </w:tr>
      <w:tr>
        <w:tc>
          <w:tcPr>
            <w:tcW w:type="dxa" w:w="4759"/>
          </w:tcPr>
          <w:p>
            <w:r>
              <w:rPr>
                <w:b w:val="0"/>
                <w:sz w:val="20"/>
              </w:rPr>
              <w:t>Title: _________________________________</w:t>
            </w:r>
          </w:p>
        </w:tc>
        <w:tc>
          <w:tcPr>
            <w:tcW w:type="dxa" w:w="4759"/>
          </w:tcPr>
          <w:p>
            <w:r>
              <w:rPr>
                <w:b w:val="0"/>
                <w:sz w:val="20"/>
              </w:rPr>
              <w:t>Title: _________________________________</w:t>
            </w:r>
          </w:p>
        </w:tc>
      </w:tr>
      <w:tr>
        <w:tc>
          <w:tcPr>
            <w:tcW w:type="dxa" w:w="4759"/>
          </w:tcPr>
          <w:p>
            <w:r>
              <w:rPr>
                <w:b w:val="0"/>
                <w:sz w:val="20"/>
              </w:rPr>
              <w:t>Company Seal: __________________________</w:t>
            </w:r>
          </w:p>
        </w:tc>
        <w:tc>
          <w:tcPr>
            <w:tcW w:type="dxa" w:w="4759"/>
          </w:tcPr>
          <w:p>
            <w:r>
              <w:rPr>
                <w:b w:val="0"/>
                <w:sz w:val="20"/>
              </w:rPr>
              <w:t>Company Seal: __________________________</w:t>
            </w:r>
          </w:p>
        </w:tc>
      </w:tr>
      <w:tr>
        <w:tc>
          <w:tcPr>
            <w:tcW w:type="dxa" w:w="4759"/>
          </w:tcPr>
          <w:p>
            <w:r>
              <w:rPr>
                <w:b w:val="0"/>
                <w:sz w:val="20"/>
              </w:rPr>
              <w:t>Date: __________________________________</w:t>
            </w:r>
          </w:p>
        </w:tc>
        <w:tc>
          <w:tcPr>
            <w:tcW w:type="dxa" w:w="4759"/>
          </w:tcPr>
          <w:p>
            <w:r>
              <w:rPr>
                <w:b w:val="0"/>
                <w:sz w:val="20"/>
              </w:rPr>
              <w:t>Date: __________________________________</w:t>
            </w:r>
          </w:p>
        </w:tc>
      </w:tr>
      <w:tr>
        <w:tc>
          <w:tcPr>
            <w:tcW w:type="dxa" w:w="4759"/>
          </w:tcPr>
          <w:p>
            <w:r>
              <w:rPr>
                <w:b w:val="0"/>
                <w:sz w:val="20"/>
              </w:rPr>
            </w:r>
          </w:p>
        </w:tc>
        <w:tc>
          <w:tcPr>
            <w:tcW w:type="dxa" w:w="4759"/>
          </w:tcPr>
          <w:p>
            <w:r>
              <w:rPr>
                <w:b w:val="0"/>
                <w:sz w:val="20"/>
              </w:rPr>
            </w:r>
          </w:p>
        </w:tc>
      </w:tr>
      <w:tr>
        <w:tc>
          <w:tcPr>
            <w:tcW w:type="dxa" w:w="4759"/>
          </w:tcPr>
          <w:p>
            <w:r>
              <w:rPr>
                <w:b w:val="0"/>
                <w:sz w:val="20"/>
              </w:rPr>
              <w:t>For contract enquiries: info@inqulm.com · WhatsApp +86 177 5875 6157</w:t>
            </w:r>
          </w:p>
        </w:tc>
        <w:tc>
          <w:tcPr>
            <w:tcW w:type="dxa" w:w="4759"/>
          </w:tcPr>
          <w:p>
            <w:r>
              <w:rPr>
                <w:b w:val="0"/>
                <w:sz w:val="20"/>
              </w:rPr>
            </w:r>
          </w:p>
        </w:tc>
      </w:tr>
    </w:tbl>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